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F387A1" w14:textId="77777777" w:rsidR="00CE7972" w:rsidRPr="007968CD" w:rsidRDefault="00CE7972" w:rsidP="00A0218E">
      <w:pPr>
        <w:shd w:val="clear" w:color="auto" w:fill="FFFFFF"/>
        <w:spacing w:line="480" w:lineRule="auto"/>
        <w:ind w:firstLine="720"/>
        <w:rPr>
          <w:rFonts w:ascii="Times New Roman" w:eastAsia="Times New Roman" w:hAnsi="Times New Roman" w:cs="Times New Roman"/>
          <w:b/>
          <w:sz w:val="24"/>
          <w:szCs w:val="24"/>
        </w:rPr>
      </w:pPr>
      <w:r w:rsidRPr="007968CD">
        <w:rPr>
          <w:rFonts w:ascii="Times New Roman" w:eastAsia="Times New Roman" w:hAnsi="Times New Roman" w:cs="Times New Roman"/>
          <w:b/>
          <w:sz w:val="24"/>
          <w:szCs w:val="24"/>
        </w:rPr>
        <w:t>Part 1.</w:t>
      </w:r>
    </w:p>
    <w:p w14:paraId="0AA6E736" w14:textId="77777777" w:rsidR="00CE7972" w:rsidRPr="007968CD" w:rsidRDefault="00CE7972" w:rsidP="00A0218E">
      <w:pPr>
        <w:shd w:val="clear" w:color="auto" w:fill="FFFFFF"/>
        <w:spacing w:line="480" w:lineRule="auto"/>
        <w:rPr>
          <w:rFonts w:ascii="Times New Roman" w:eastAsia="Times New Roman" w:hAnsi="Times New Roman" w:cs="Times New Roman"/>
          <w:bCs/>
          <w:sz w:val="24"/>
          <w:szCs w:val="24"/>
        </w:rPr>
      </w:pPr>
      <w:r w:rsidRPr="007968CD">
        <w:rPr>
          <w:rFonts w:ascii="Times New Roman" w:eastAsia="Times New Roman" w:hAnsi="Times New Roman" w:cs="Times New Roman"/>
          <w:bCs/>
          <w:sz w:val="24"/>
          <w:szCs w:val="24"/>
        </w:rPr>
        <w:t>During the manufacturing for the Allied Piped Company, the</w:t>
      </w:r>
      <w:r w:rsidR="001D2A03" w:rsidRPr="007968CD">
        <w:rPr>
          <w:rFonts w:ascii="Times New Roman" w:eastAsia="Times New Roman" w:hAnsi="Times New Roman" w:cs="Times New Roman"/>
          <w:bCs/>
          <w:sz w:val="24"/>
          <w:szCs w:val="24"/>
        </w:rPr>
        <w:t xml:space="preserve"> tota</w:t>
      </w:r>
      <w:r w:rsidRPr="007968CD">
        <w:rPr>
          <w:rFonts w:ascii="Times New Roman" w:eastAsia="Times New Roman" w:hAnsi="Times New Roman" w:cs="Times New Roman"/>
          <w:bCs/>
          <w:sz w:val="24"/>
          <w:szCs w:val="24"/>
        </w:rPr>
        <w:t>l direct expense incurred which include: cost spent to produce the good till the point of sale and cost related to purchase of inventories</w:t>
      </w:r>
    </w:p>
    <w:p w14:paraId="4000AD2D" w14:textId="77777777" w:rsidR="00CE7972" w:rsidRPr="007968CD" w:rsidRDefault="00CE7972" w:rsidP="00A0218E">
      <w:pPr>
        <w:shd w:val="clear" w:color="auto" w:fill="FFFFFF"/>
        <w:spacing w:line="480" w:lineRule="auto"/>
        <w:rPr>
          <w:rFonts w:ascii="Times New Roman" w:eastAsia="Times New Roman" w:hAnsi="Times New Roman" w:cs="Times New Roman"/>
          <w:bCs/>
          <w:sz w:val="24"/>
          <w:szCs w:val="24"/>
        </w:rPr>
      </w:pPr>
      <w:proofErr w:type="gramStart"/>
      <w:r w:rsidRPr="007968CD">
        <w:rPr>
          <w:rFonts w:ascii="Times New Roman" w:eastAsia="Times New Roman" w:hAnsi="Times New Roman" w:cs="Times New Roman"/>
          <w:bCs/>
          <w:sz w:val="24"/>
          <w:szCs w:val="24"/>
        </w:rPr>
        <w:t>Thus</w:t>
      </w:r>
      <w:proofErr w:type="gramEnd"/>
      <w:r w:rsidRPr="007968CD">
        <w:rPr>
          <w:rFonts w:ascii="Times New Roman" w:eastAsia="Times New Roman" w:hAnsi="Times New Roman" w:cs="Times New Roman"/>
          <w:bCs/>
          <w:sz w:val="24"/>
          <w:szCs w:val="24"/>
        </w:rPr>
        <w:t xml:space="preserve"> Inventoriable cost is:</w:t>
      </w:r>
    </w:p>
    <w:p w14:paraId="750077C7" w14:textId="77777777" w:rsidR="001D2A03" w:rsidRPr="007968CD" w:rsidRDefault="001D2A03" w:rsidP="00A0218E">
      <w:pPr>
        <w:shd w:val="clear" w:color="auto" w:fill="FFFFFF"/>
        <w:spacing w:line="480" w:lineRule="auto"/>
        <w:rPr>
          <w:rFonts w:ascii="Times New Roman" w:eastAsia="Times New Roman" w:hAnsi="Times New Roman" w:cs="Times New Roman"/>
          <w:bCs/>
          <w:color w:val="4D5968"/>
          <w:sz w:val="24"/>
          <w:szCs w:val="24"/>
        </w:rPr>
      </w:pPr>
      <w:r w:rsidRPr="007968CD">
        <w:rPr>
          <w:rFonts w:ascii="Times New Roman" w:hAnsi="Times New Roman" w:cs="Times New Roman"/>
          <w:sz w:val="24"/>
          <w:szCs w:val="24"/>
        </w:rPr>
        <w:t>Direct mat</w:t>
      </w:r>
      <w:r w:rsidR="00CE7972" w:rsidRPr="007968CD">
        <w:rPr>
          <w:rFonts w:ascii="Times New Roman" w:hAnsi="Times New Roman" w:cs="Times New Roman"/>
          <w:sz w:val="24"/>
          <w:szCs w:val="24"/>
        </w:rPr>
        <w:t>erials + Direct labor + Variable</w:t>
      </w:r>
      <w:r w:rsidRPr="007968CD">
        <w:rPr>
          <w:rFonts w:ascii="Times New Roman" w:hAnsi="Times New Roman" w:cs="Times New Roman"/>
          <w:sz w:val="24"/>
          <w:szCs w:val="24"/>
        </w:rPr>
        <w:t xml:space="preserve"> overhead + </w:t>
      </w:r>
      <w:r w:rsidR="00CE7972" w:rsidRPr="007968CD">
        <w:rPr>
          <w:rFonts w:ascii="Times New Roman" w:hAnsi="Times New Roman" w:cs="Times New Roman"/>
          <w:sz w:val="24"/>
          <w:szCs w:val="24"/>
        </w:rPr>
        <w:t>Freight inwards</w:t>
      </w:r>
    </w:p>
    <w:p w14:paraId="2E0004BB" w14:textId="77777777" w:rsidR="001D2A03" w:rsidRPr="007968CD" w:rsidRDefault="001D2A03" w:rsidP="00A0218E">
      <w:pPr>
        <w:spacing w:line="480" w:lineRule="auto"/>
        <w:jc w:val="both"/>
        <w:rPr>
          <w:rFonts w:ascii="Times New Roman" w:hAnsi="Times New Roman" w:cs="Times New Roman"/>
          <w:b/>
          <w:bCs/>
          <w:sz w:val="24"/>
          <w:szCs w:val="24"/>
        </w:rPr>
      </w:pPr>
      <w:r w:rsidRPr="007968CD">
        <w:rPr>
          <w:rFonts w:ascii="Times New Roman" w:hAnsi="Times New Roman" w:cs="Times New Roman"/>
          <w:b/>
          <w:bCs/>
          <w:sz w:val="24"/>
          <w:szCs w:val="24"/>
        </w:rPr>
        <w:t>Part 2</w:t>
      </w:r>
    </w:p>
    <w:p w14:paraId="51C24217" w14:textId="30C5ADC7" w:rsidR="00860A5C" w:rsidRPr="007968CD" w:rsidRDefault="00860A5C" w:rsidP="00A0218E">
      <w:pPr>
        <w:spacing w:line="480" w:lineRule="auto"/>
        <w:ind w:firstLine="720"/>
        <w:jc w:val="both"/>
        <w:rPr>
          <w:rFonts w:ascii="Times New Roman" w:hAnsi="Times New Roman" w:cs="Times New Roman"/>
          <w:sz w:val="24"/>
          <w:szCs w:val="24"/>
        </w:rPr>
      </w:pPr>
      <w:r w:rsidRPr="007968CD">
        <w:rPr>
          <w:rFonts w:ascii="Times New Roman" w:hAnsi="Times New Roman" w:cs="Times New Roman"/>
          <w:sz w:val="24"/>
          <w:szCs w:val="24"/>
        </w:rPr>
        <w:t>Many companies use cost-based pricing in computing the cost of the manufactured goods and adding a mark-up to determine to price. Toyota achieves its goals of profit maximization by growing its production in various parts of the world until marginal cost equivalents marginal revenue</w:t>
      </w:r>
      <w:r w:rsidR="00A0218E" w:rsidRPr="007968CD">
        <w:rPr>
          <w:rFonts w:ascii="Times New Roman" w:hAnsi="Times New Roman" w:cs="Times New Roman"/>
          <w:color w:val="000000"/>
          <w:sz w:val="24"/>
          <w:szCs w:val="24"/>
          <w:shd w:val="clear" w:color="auto" w:fill="FFFFFF"/>
        </w:rPr>
        <w:t xml:space="preserve"> </w:t>
      </w:r>
      <w:r w:rsidR="00A0218E" w:rsidRPr="007968CD">
        <w:rPr>
          <w:rFonts w:ascii="Times New Roman" w:hAnsi="Times New Roman" w:cs="Times New Roman"/>
          <w:color w:val="000000"/>
          <w:sz w:val="24"/>
          <w:szCs w:val="24"/>
          <w:shd w:val="clear" w:color="auto" w:fill="FFFFFF"/>
        </w:rPr>
        <w:t>("New Cars, Trucks, SUVs &amp; Hybrids | Toyota Official Site", 2021)</w:t>
      </w:r>
      <w:r w:rsidRPr="007968CD">
        <w:rPr>
          <w:rFonts w:ascii="Times New Roman" w:hAnsi="Times New Roman" w:cs="Times New Roman"/>
          <w:sz w:val="24"/>
          <w:szCs w:val="24"/>
        </w:rPr>
        <w:t>. On the other hand, absorption cost means that concluding inventory on the balance sheet is upper while expenses on the income statement are lower. It also captures all the direct costs. While variable costing doesn’t determine a per-unit cost of fixed overheads absorption cost does.</w:t>
      </w:r>
    </w:p>
    <w:p w14:paraId="246E4320" w14:textId="77777777" w:rsidR="00860A5C" w:rsidRPr="007968CD" w:rsidRDefault="00860A5C" w:rsidP="00A0218E">
      <w:pPr>
        <w:spacing w:line="480" w:lineRule="auto"/>
        <w:jc w:val="both"/>
        <w:rPr>
          <w:rFonts w:ascii="Times New Roman" w:hAnsi="Times New Roman" w:cs="Times New Roman"/>
          <w:sz w:val="24"/>
          <w:szCs w:val="24"/>
        </w:rPr>
      </w:pPr>
      <w:r w:rsidRPr="007968CD">
        <w:rPr>
          <w:rFonts w:ascii="Times New Roman" w:hAnsi="Times New Roman" w:cs="Times New Roman"/>
          <w:sz w:val="24"/>
          <w:szCs w:val="24"/>
        </w:rPr>
        <w:t xml:space="preserve"> The company through absorption cost does improve the profit by assigning a per-unit in the inventory. The trick is they don’t show the expense until they sell the items in the inventory. However, since sometimes all fixed overheads are not deducted this may result in artificial inflation of profit figures in any given accounting period and may mislead during profit analysis.</w:t>
      </w:r>
    </w:p>
    <w:p w14:paraId="3511E324" w14:textId="7422ABA8" w:rsidR="00860A5C" w:rsidRPr="007968CD" w:rsidRDefault="00860A5C" w:rsidP="00A0218E">
      <w:pPr>
        <w:spacing w:line="480" w:lineRule="auto"/>
        <w:jc w:val="both"/>
        <w:rPr>
          <w:rFonts w:ascii="Times New Roman" w:hAnsi="Times New Roman" w:cs="Times New Roman"/>
          <w:sz w:val="24"/>
          <w:szCs w:val="24"/>
        </w:rPr>
      </w:pPr>
      <w:r w:rsidRPr="007968CD">
        <w:rPr>
          <w:rFonts w:ascii="Times New Roman" w:hAnsi="Times New Roman" w:cs="Times New Roman"/>
          <w:sz w:val="24"/>
          <w:szCs w:val="24"/>
        </w:rPr>
        <w:t xml:space="preserve">Even though several companies use variable costing to illustrate the return after all expenses have been paid for the accounting period, however, revenues are not always received for all the products factory-made because some could be in the inventory. The greatest disadvantage of variable cost </w:t>
      </w:r>
      <w:r w:rsidRPr="007968CD">
        <w:rPr>
          <w:rFonts w:ascii="Times New Roman" w:hAnsi="Times New Roman" w:cs="Times New Roman"/>
          <w:sz w:val="24"/>
          <w:szCs w:val="24"/>
        </w:rPr>
        <w:lastRenderedPageBreak/>
        <w:t>is that even if you don’t sell all products you produce you must deduct the full cost of fixed overhead. Even it shows full payment for the fixed overhead expenses for the accounting period.</w:t>
      </w:r>
    </w:p>
    <w:p w14:paraId="71204C3B" w14:textId="7F196B8A" w:rsidR="005A1054" w:rsidRPr="007968CD" w:rsidRDefault="005A1054" w:rsidP="00A0218E">
      <w:pPr>
        <w:spacing w:line="480" w:lineRule="auto"/>
        <w:jc w:val="both"/>
        <w:rPr>
          <w:rFonts w:ascii="Times New Roman" w:hAnsi="Times New Roman" w:cs="Times New Roman"/>
          <w:sz w:val="24"/>
          <w:szCs w:val="24"/>
        </w:rPr>
      </w:pPr>
    </w:p>
    <w:p w14:paraId="0D3F93EF" w14:textId="5B1AE29B" w:rsidR="005A1054" w:rsidRPr="007968CD" w:rsidRDefault="005A1054" w:rsidP="00A0218E">
      <w:pPr>
        <w:spacing w:line="480" w:lineRule="auto"/>
        <w:jc w:val="both"/>
        <w:rPr>
          <w:rFonts w:ascii="Times New Roman" w:hAnsi="Times New Roman" w:cs="Times New Roman"/>
          <w:sz w:val="24"/>
          <w:szCs w:val="24"/>
        </w:rPr>
      </w:pPr>
    </w:p>
    <w:p w14:paraId="317449A6" w14:textId="553A2A03" w:rsidR="005A1054" w:rsidRPr="007968CD" w:rsidRDefault="005A1054" w:rsidP="00A0218E">
      <w:pPr>
        <w:spacing w:line="480" w:lineRule="auto"/>
        <w:jc w:val="both"/>
        <w:rPr>
          <w:rFonts w:ascii="Times New Roman" w:hAnsi="Times New Roman" w:cs="Times New Roman"/>
          <w:sz w:val="24"/>
          <w:szCs w:val="24"/>
        </w:rPr>
      </w:pPr>
    </w:p>
    <w:p w14:paraId="336AA496" w14:textId="1D38CCC3" w:rsidR="005A1054" w:rsidRPr="007968CD" w:rsidRDefault="005A1054" w:rsidP="00A0218E">
      <w:pPr>
        <w:spacing w:line="480" w:lineRule="auto"/>
        <w:jc w:val="both"/>
        <w:rPr>
          <w:rFonts w:ascii="Times New Roman" w:hAnsi="Times New Roman" w:cs="Times New Roman"/>
          <w:sz w:val="24"/>
          <w:szCs w:val="24"/>
        </w:rPr>
      </w:pPr>
    </w:p>
    <w:p w14:paraId="27140625" w14:textId="463C80D9" w:rsidR="005A1054" w:rsidRPr="007968CD" w:rsidRDefault="005A1054" w:rsidP="00A0218E">
      <w:pPr>
        <w:spacing w:line="480" w:lineRule="auto"/>
        <w:jc w:val="both"/>
        <w:rPr>
          <w:rFonts w:ascii="Times New Roman" w:hAnsi="Times New Roman" w:cs="Times New Roman"/>
          <w:sz w:val="24"/>
          <w:szCs w:val="24"/>
        </w:rPr>
      </w:pPr>
    </w:p>
    <w:p w14:paraId="1A27E2A5" w14:textId="072E974E" w:rsidR="005A1054" w:rsidRPr="007968CD" w:rsidRDefault="005A1054" w:rsidP="00A0218E">
      <w:pPr>
        <w:spacing w:line="480" w:lineRule="auto"/>
        <w:jc w:val="both"/>
        <w:rPr>
          <w:rFonts w:ascii="Times New Roman" w:hAnsi="Times New Roman" w:cs="Times New Roman"/>
          <w:sz w:val="24"/>
          <w:szCs w:val="24"/>
        </w:rPr>
      </w:pPr>
    </w:p>
    <w:p w14:paraId="216F4A21" w14:textId="457B8FB5" w:rsidR="005A1054" w:rsidRPr="007968CD" w:rsidRDefault="005A1054" w:rsidP="00A0218E">
      <w:pPr>
        <w:spacing w:line="480" w:lineRule="auto"/>
        <w:jc w:val="both"/>
        <w:rPr>
          <w:rFonts w:ascii="Times New Roman" w:hAnsi="Times New Roman" w:cs="Times New Roman"/>
          <w:sz w:val="24"/>
          <w:szCs w:val="24"/>
        </w:rPr>
      </w:pPr>
    </w:p>
    <w:p w14:paraId="4E0681E1" w14:textId="6AB183DB" w:rsidR="005A1054" w:rsidRPr="007968CD" w:rsidRDefault="005A1054" w:rsidP="00A0218E">
      <w:pPr>
        <w:spacing w:line="480" w:lineRule="auto"/>
        <w:jc w:val="both"/>
        <w:rPr>
          <w:rFonts w:ascii="Times New Roman" w:hAnsi="Times New Roman" w:cs="Times New Roman"/>
          <w:sz w:val="24"/>
          <w:szCs w:val="24"/>
        </w:rPr>
      </w:pPr>
    </w:p>
    <w:p w14:paraId="371C50B6" w14:textId="2D0069C8" w:rsidR="005A1054" w:rsidRPr="007968CD" w:rsidRDefault="005A1054" w:rsidP="00A0218E">
      <w:pPr>
        <w:spacing w:line="480" w:lineRule="auto"/>
        <w:jc w:val="center"/>
        <w:rPr>
          <w:rFonts w:ascii="Times New Roman" w:hAnsi="Times New Roman" w:cs="Times New Roman"/>
          <w:sz w:val="24"/>
          <w:szCs w:val="24"/>
        </w:rPr>
      </w:pPr>
      <w:r w:rsidRPr="007968CD">
        <w:rPr>
          <w:rFonts w:ascii="Times New Roman" w:hAnsi="Times New Roman" w:cs="Times New Roman"/>
          <w:sz w:val="24"/>
          <w:szCs w:val="24"/>
        </w:rPr>
        <w:t>References</w:t>
      </w:r>
    </w:p>
    <w:p w14:paraId="0B650632" w14:textId="77777777" w:rsidR="005A1054" w:rsidRPr="007968CD" w:rsidRDefault="005A1054" w:rsidP="00A0218E">
      <w:pPr>
        <w:spacing w:line="480" w:lineRule="auto"/>
        <w:rPr>
          <w:rFonts w:ascii="Times New Roman" w:hAnsi="Times New Roman" w:cs="Times New Roman"/>
          <w:sz w:val="24"/>
          <w:szCs w:val="24"/>
        </w:rPr>
      </w:pPr>
      <w:r w:rsidRPr="007968CD">
        <w:rPr>
          <w:rFonts w:ascii="Times New Roman" w:hAnsi="Times New Roman" w:cs="Times New Roman"/>
          <w:color w:val="000000"/>
          <w:sz w:val="24"/>
          <w:szCs w:val="24"/>
          <w:shd w:val="clear" w:color="auto" w:fill="FFFFFF"/>
        </w:rPr>
        <w:t>Hilton, R. W. (2016). </w:t>
      </w:r>
      <w:r w:rsidRPr="007968CD">
        <w:rPr>
          <w:rStyle w:val="Emphasis"/>
          <w:rFonts w:ascii="Times New Roman" w:hAnsi="Times New Roman" w:cs="Times New Roman"/>
          <w:color w:val="000000"/>
          <w:sz w:val="24"/>
          <w:szCs w:val="24"/>
          <w:bdr w:val="none" w:sz="0" w:space="0" w:color="auto" w:frame="1"/>
        </w:rPr>
        <w:t>Managerial accounting: Creating value in a dynamic business environment</w:t>
      </w:r>
      <w:r w:rsidRPr="007968CD">
        <w:rPr>
          <w:rFonts w:ascii="Times New Roman" w:hAnsi="Times New Roman" w:cs="Times New Roman"/>
          <w:color w:val="000000"/>
          <w:sz w:val="24"/>
          <w:szCs w:val="24"/>
          <w:shd w:val="clear" w:color="auto" w:fill="FFFFFF"/>
        </w:rPr>
        <w:t> (11th ed.). New York, NY: McGraw-Hill/Irwin. </w:t>
      </w:r>
      <w:r w:rsidRPr="007968CD">
        <w:rPr>
          <w:rFonts w:ascii="Times New Roman" w:hAnsi="Times New Roman" w:cs="Times New Roman"/>
          <w:sz w:val="24"/>
          <w:szCs w:val="24"/>
          <w:bdr w:val="none" w:sz="0" w:space="0" w:color="auto" w:frame="1"/>
        </w:rPr>
        <w:t>http://www.gcumedia.com/digital-resources/mcgraw-hill/2016/managerial-accounting_creating-value-in-a-dynamic-business-environment_ebook_11e.php</w:t>
      </w:r>
    </w:p>
    <w:p w14:paraId="0A439E9E" w14:textId="0E5D8125" w:rsidR="004550EF" w:rsidRPr="007968CD" w:rsidRDefault="00A0218E" w:rsidP="00A0218E">
      <w:pPr>
        <w:spacing w:line="480" w:lineRule="auto"/>
        <w:rPr>
          <w:rFonts w:ascii="Times New Roman" w:hAnsi="Times New Roman" w:cs="Times New Roman"/>
          <w:color w:val="000000"/>
          <w:sz w:val="24"/>
          <w:szCs w:val="24"/>
          <w:shd w:val="clear" w:color="auto" w:fill="FFFFFF"/>
        </w:rPr>
      </w:pPr>
      <w:r w:rsidRPr="007968CD">
        <w:rPr>
          <w:rFonts w:ascii="Times New Roman" w:hAnsi="Times New Roman" w:cs="Times New Roman"/>
          <w:color w:val="000000"/>
          <w:sz w:val="24"/>
          <w:szCs w:val="24"/>
          <w:shd w:val="clear" w:color="auto" w:fill="FFFFFF"/>
        </w:rPr>
        <w:t>CORPORATION., T. (2021). </w:t>
      </w:r>
      <w:r w:rsidRPr="007968CD">
        <w:rPr>
          <w:rFonts w:ascii="Times New Roman" w:hAnsi="Times New Roman" w:cs="Times New Roman"/>
          <w:i/>
          <w:iCs/>
          <w:color w:val="000000"/>
          <w:sz w:val="24"/>
          <w:szCs w:val="24"/>
          <w:shd w:val="clear" w:color="auto" w:fill="FFFFFF"/>
        </w:rPr>
        <w:t>Financial Results | Shareholders &amp; Investors News | Toyota Motor Corporation Official Global Website</w:t>
      </w:r>
      <w:r w:rsidRPr="007968CD">
        <w:rPr>
          <w:rFonts w:ascii="Times New Roman" w:hAnsi="Times New Roman" w:cs="Times New Roman"/>
          <w:color w:val="000000"/>
          <w:sz w:val="24"/>
          <w:szCs w:val="24"/>
          <w:shd w:val="clear" w:color="auto" w:fill="FFFFFF"/>
        </w:rPr>
        <w:t xml:space="preserve">. Toyota Motor Corporation Official Global Website. Retrieved 19 January 2021, from </w:t>
      </w:r>
      <w:hyperlink r:id="rId4" w:history="1">
        <w:r w:rsidRPr="007968CD">
          <w:rPr>
            <w:rStyle w:val="Hyperlink"/>
            <w:rFonts w:ascii="Times New Roman" w:hAnsi="Times New Roman" w:cs="Times New Roman"/>
            <w:sz w:val="24"/>
            <w:szCs w:val="24"/>
            <w:shd w:val="clear" w:color="auto" w:fill="FFFFFF"/>
          </w:rPr>
          <w:t>https://global.toyota/en/ir/financial-results/</w:t>
        </w:r>
      </w:hyperlink>
      <w:r w:rsidRPr="007968CD">
        <w:rPr>
          <w:rFonts w:ascii="Times New Roman" w:hAnsi="Times New Roman" w:cs="Times New Roman"/>
          <w:color w:val="000000"/>
          <w:sz w:val="24"/>
          <w:szCs w:val="24"/>
          <w:shd w:val="clear" w:color="auto" w:fill="FFFFFF"/>
        </w:rPr>
        <w:t>.</w:t>
      </w:r>
    </w:p>
    <w:p w14:paraId="06BCCACA" w14:textId="77777777" w:rsidR="00A0218E" w:rsidRPr="007968CD" w:rsidRDefault="00A0218E" w:rsidP="00A0218E">
      <w:pPr>
        <w:spacing w:line="480" w:lineRule="auto"/>
        <w:rPr>
          <w:rFonts w:ascii="Times New Roman" w:hAnsi="Times New Roman" w:cs="Times New Roman"/>
          <w:sz w:val="24"/>
          <w:szCs w:val="24"/>
        </w:rPr>
      </w:pPr>
    </w:p>
    <w:sectPr w:rsidR="00A0218E" w:rsidRPr="007968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A5C"/>
    <w:rsid w:val="001D2A03"/>
    <w:rsid w:val="005A1054"/>
    <w:rsid w:val="007968CD"/>
    <w:rsid w:val="00860A5C"/>
    <w:rsid w:val="00A0218E"/>
    <w:rsid w:val="00CE7972"/>
    <w:rsid w:val="00DF7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73D64"/>
  <w15:chartTrackingRefBased/>
  <w15:docId w15:val="{14E15121-532F-494F-8F92-A2A350C2D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A5C"/>
  </w:style>
  <w:style w:type="paragraph" w:styleId="Heading3">
    <w:name w:val="heading 3"/>
    <w:basedOn w:val="Normal"/>
    <w:link w:val="Heading3Char"/>
    <w:uiPriority w:val="9"/>
    <w:qFormat/>
    <w:rsid w:val="001D2A0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D2A0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D2A0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D2A03"/>
    <w:rPr>
      <w:b/>
      <w:bCs/>
    </w:rPr>
  </w:style>
  <w:style w:type="character" w:styleId="Emphasis">
    <w:name w:val="Emphasis"/>
    <w:basedOn w:val="DefaultParagraphFont"/>
    <w:uiPriority w:val="20"/>
    <w:qFormat/>
    <w:rsid w:val="005A1054"/>
    <w:rPr>
      <w:i/>
      <w:iCs/>
    </w:rPr>
  </w:style>
  <w:style w:type="character" w:styleId="Hyperlink">
    <w:name w:val="Hyperlink"/>
    <w:basedOn w:val="DefaultParagraphFont"/>
    <w:uiPriority w:val="99"/>
    <w:unhideWhenUsed/>
    <w:rsid w:val="00A0218E"/>
    <w:rPr>
      <w:color w:val="0563C1" w:themeColor="hyperlink"/>
      <w:u w:val="single"/>
    </w:rPr>
  </w:style>
  <w:style w:type="character" w:styleId="UnresolvedMention">
    <w:name w:val="Unresolved Mention"/>
    <w:basedOn w:val="DefaultParagraphFont"/>
    <w:uiPriority w:val="99"/>
    <w:semiHidden/>
    <w:unhideWhenUsed/>
    <w:rsid w:val="00A021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1953341">
      <w:bodyDiv w:val="1"/>
      <w:marLeft w:val="0"/>
      <w:marRight w:val="0"/>
      <w:marTop w:val="0"/>
      <w:marBottom w:val="0"/>
      <w:divBdr>
        <w:top w:val="none" w:sz="0" w:space="0" w:color="auto"/>
        <w:left w:val="none" w:sz="0" w:space="0" w:color="auto"/>
        <w:bottom w:val="none" w:sz="0" w:space="0" w:color="auto"/>
        <w:right w:val="none" w:sz="0" w:space="0" w:color="auto"/>
      </w:divBdr>
      <w:divsChild>
        <w:div w:id="646514059">
          <w:blockQuote w:val="1"/>
          <w:marLeft w:val="0"/>
          <w:marRight w:val="0"/>
          <w:marTop w:val="720"/>
          <w:marBottom w:val="720"/>
          <w:divBdr>
            <w:top w:val="single" w:sz="6" w:space="0" w:color="CCCCCC"/>
            <w:left w:val="none" w:sz="0" w:space="0" w:color="auto"/>
            <w:bottom w:val="single" w:sz="6" w:space="0" w:color="CCCCCC"/>
            <w:right w:val="none" w:sz="0" w:space="0" w:color="auto"/>
          </w:divBdr>
        </w:div>
        <w:div w:id="870149267">
          <w:marLeft w:val="0"/>
          <w:marRight w:val="0"/>
          <w:marTop w:val="0"/>
          <w:marBottom w:val="0"/>
          <w:divBdr>
            <w:top w:val="none" w:sz="0" w:space="0" w:color="auto"/>
            <w:left w:val="none" w:sz="0" w:space="0" w:color="auto"/>
            <w:bottom w:val="none" w:sz="0" w:space="0" w:color="auto"/>
            <w:right w:val="none" w:sz="0" w:space="0" w:color="auto"/>
          </w:divBdr>
        </w:div>
        <w:div w:id="1860924062">
          <w:marLeft w:val="0"/>
          <w:marRight w:val="0"/>
          <w:marTop w:val="0"/>
          <w:marBottom w:val="270"/>
          <w:divBdr>
            <w:top w:val="single" w:sz="6" w:space="10" w:color="FADF98"/>
            <w:left w:val="single" w:sz="36" w:space="10" w:color="FFEB3B"/>
            <w:bottom w:val="single" w:sz="6" w:space="10" w:color="FADF98"/>
            <w:right w:val="single" w:sz="6" w:space="10" w:color="FADF98"/>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lobal.toyota/en/ir/financial-resul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364</Words>
  <Characters>2075</Characters>
  <Application>Microsoft Office Word</Application>
  <DocSecurity>0</DocSecurity>
  <Lines>17</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Formula</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Ochoro</dc:creator>
  <cp:keywords/>
  <dc:description/>
  <cp:lastModifiedBy>john matheka</cp:lastModifiedBy>
  <cp:revision>5</cp:revision>
  <dcterms:created xsi:type="dcterms:W3CDTF">2021-01-18T19:37:00Z</dcterms:created>
  <dcterms:modified xsi:type="dcterms:W3CDTF">2021-01-19T06:40:00Z</dcterms:modified>
</cp:coreProperties>
</file>